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itolo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Collegamentoipertestual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gliatabella"/>
        <w:tblW w:w="11199" w:type="dxa"/>
        <w:tblInd w:w="-318" w:type="dxa"/>
        <w:tblLook w:val="04A0" w:firstRow="1" w:lastRow="0" w:firstColumn="1" w:lastColumn="0" w:noHBand="0" w:noVBand="1"/>
      </w:tblPr>
      <w:tblGrid>
        <w:gridCol w:w="1481"/>
        <w:gridCol w:w="1554"/>
        <w:gridCol w:w="1417"/>
        <w:gridCol w:w="510"/>
        <w:gridCol w:w="1506"/>
        <w:gridCol w:w="1548"/>
        <w:gridCol w:w="632"/>
        <w:gridCol w:w="2551"/>
      </w:tblGrid>
      <w:tr w:rsidR="001C329C"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1C329C"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1C329C"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1C329C"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1C329C" w:rsidRPr="001C329C"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1C329C" w:rsidRPr="001C329C"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1C329C" w:rsidRPr="001C329C"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1C329C" w:rsidRPr="001C329C" w14:paraId="151698B1" w14:textId="77777777" w:rsidTr="001C329C">
        <w:trPr>
          <w:trHeight w:val="1103"/>
        </w:trPr>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3F812B23" w:rsidR="00481298" w:rsidRPr="001C329C" w:rsidRDefault="001C329C" w:rsidP="008C6E35">
            <w:pPr>
              <w:spacing w:after="120" w:line="240" w:lineRule="auto"/>
              <w:ind w:right="28"/>
              <w:jc w:val="center"/>
              <w:rPr>
                <w:rFonts w:ascii="Verdana" w:eastAsia="Times New Roman" w:hAnsi="Verdana" w:cs="Arial"/>
                <w:b/>
                <w:color w:val="002060"/>
                <w:sz w:val="20"/>
                <w:szCs w:val="20"/>
                <w:lang w:val="en-GB"/>
              </w:rPr>
            </w:pPr>
            <w:r w:rsidRPr="001C329C">
              <w:rPr>
                <w:rFonts w:ascii="Verdana" w:eastAsia="Times New Roman" w:hAnsi="Verdana" w:cs="Arial"/>
                <w:b/>
                <w:color w:val="002060"/>
                <w:sz w:val="20"/>
                <w:szCs w:val="20"/>
                <w:lang w:val="en-GB"/>
              </w:rPr>
              <w:t>University of Florence</w:t>
            </w:r>
          </w:p>
        </w:tc>
        <w:tc>
          <w:tcPr>
            <w:tcW w:w="1949" w:type="dxa"/>
            <w:gridSpan w:val="2"/>
          </w:tcPr>
          <w:p w14:paraId="64BE1AA1" w14:textId="6526656E" w:rsidR="00481298" w:rsidRPr="001C329C" w:rsidRDefault="001C329C" w:rsidP="008C6E35">
            <w:pPr>
              <w:spacing w:after="120" w:line="240" w:lineRule="auto"/>
              <w:ind w:right="28"/>
              <w:jc w:val="center"/>
              <w:rPr>
                <w:rFonts w:ascii="Verdana" w:eastAsia="Times New Roman" w:hAnsi="Verdana" w:cs="Arial"/>
                <w:b/>
                <w:color w:val="002060"/>
                <w:sz w:val="20"/>
                <w:szCs w:val="20"/>
                <w:lang w:val="en-GB"/>
              </w:rPr>
            </w:pPr>
            <w:r w:rsidRPr="001C329C">
              <w:rPr>
                <w:rFonts w:ascii="Verdana" w:eastAsia="Times New Roman" w:hAnsi="Verdana" w:cs="Arial"/>
                <w:b/>
                <w:color w:val="002060"/>
                <w:sz w:val="20"/>
                <w:szCs w:val="20"/>
                <w:lang w:val="en-GB"/>
              </w:rPr>
              <w:t>School of Human Health Sciences</w:t>
            </w:r>
          </w:p>
        </w:tc>
        <w:tc>
          <w:tcPr>
            <w:tcW w:w="1251" w:type="dxa"/>
          </w:tcPr>
          <w:p w14:paraId="6C108FB1" w14:textId="328FB013" w:rsidR="00481298" w:rsidRPr="001C329C" w:rsidRDefault="001C329C" w:rsidP="008C6E35">
            <w:pPr>
              <w:spacing w:after="120" w:line="240" w:lineRule="auto"/>
              <w:ind w:right="28"/>
              <w:jc w:val="center"/>
              <w:rPr>
                <w:rFonts w:ascii="Verdana" w:eastAsia="Times New Roman" w:hAnsi="Verdana" w:cs="Arial"/>
                <w:b/>
                <w:color w:val="002060"/>
                <w:sz w:val="20"/>
                <w:szCs w:val="20"/>
                <w:lang w:val="en-GB"/>
              </w:rPr>
            </w:pPr>
            <w:r w:rsidRPr="001C329C">
              <w:rPr>
                <w:rFonts w:ascii="Verdana" w:eastAsia="Times New Roman" w:hAnsi="Verdana" w:cs="Arial"/>
                <w:b/>
                <w:color w:val="002060"/>
                <w:sz w:val="20"/>
                <w:szCs w:val="20"/>
                <w:lang w:val="en-GB"/>
              </w:rPr>
              <w:t>I FIRENZE01</w:t>
            </w:r>
          </w:p>
        </w:tc>
        <w:tc>
          <w:tcPr>
            <w:tcW w:w="1619" w:type="dxa"/>
          </w:tcPr>
          <w:p w14:paraId="52656725" w14:textId="67F307D3" w:rsidR="00481298" w:rsidRPr="001C329C" w:rsidRDefault="001C329C" w:rsidP="008C6E35">
            <w:pPr>
              <w:spacing w:after="120" w:line="240" w:lineRule="auto"/>
              <w:ind w:right="28"/>
              <w:jc w:val="center"/>
              <w:rPr>
                <w:rFonts w:ascii="Verdana" w:eastAsia="Times New Roman" w:hAnsi="Verdana" w:cs="Arial"/>
                <w:b/>
                <w:color w:val="002060"/>
                <w:sz w:val="20"/>
                <w:szCs w:val="20"/>
                <w:lang w:val="en-GB"/>
              </w:rPr>
            </w:pPr>
            <w:r w:rsidRPr="001C329C">
              <w:rPr>
                <w:rFonts w:ascii="Verdana" w:eastAsia="Times New Roman" w:hAnsi="Verdana" w:cs="Arial"/>
                <w:b/>
                <w:color w:val="002060"/>
                <w:sz w:val="20"/>
                <w:szCs w:val="20"/>
                <w:lang w:val="en-GB"/>
              </w:rPr>
              <w:t>Italy</w:t>
            </w:r>
          </w:p>
        </w:tc>
        <w:tc>
          <w:tcPr>
            <w:tcW w:w="3260" w:type="dxa"/>
            <w:gridSpan w:val="2"/>
          </w:tcPr>
          <w:p w14:paraId="1732DB5F" w14:textId="76B762B3" w:rsidR="00481298" w:rsidRPr="001C329C" w:rsidRDefault="001C329C" w:rsidP="008C6E35">
            <w:pPr>
              <w:spacing w:after="120" w:line="240" w:lineRule="auto"/>
              <w:ind w:right="28"/>
              <w:jc w:val="center"/>
              <w:rPr>
                <w:rFonts w:ascii="Verdana" w:eastAsia="Times New Roman" w:hAnsi="Verdana" w:cs="Arial"/>
                <w:b/>
                <w:color w:val="002060"/>
                <w:sz w:val="20"/>
                <w:szCs w:val="20"/>
                <w:lang w:val="en-GB"/>
              </w:rPr>
            </w:pPr>
            <w:r>
              <w:rPr>
                <w:rFonts w:ascii="Verdana" w:eastAsia="Times New Roman" w:hAnsi="Verdana" w:cs="Arial"/>
                <w:b/>
                <w:color w:val="002060"/>
                <w:sz w:val="20"/>
                <w:szCs w:val="20"/>
                <w:lang w:val="en-GB"/>
              </w:rPr>
              <w:t xml:space="preserve">Chiara Cannizzaro </w:t>
            </w:r>
            <w:r w:rsidRPr="001C329C">
              <w:rPr>
                <w:rFonts w:ascii="Verdana" w:eastAsia="Times New Roman" w:hAnsi="Verdana" w:cs="Arial"/>
                <w:b/>
                <w:color w:val="002060"/>
                <w:sz w:val="20"/>
                <w:szCs w:val="20"/>
              </w:rPr>
              <w:t>relint@sc-saluteumana.unifi.it</w:t>
            </w:r>
          </w:p>
        </w:tc>
      </w:tr>
      <w:tr w:rsidR="00481298" w:rsidRPr="001C329C"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8919DD" w:rsidRDefault="00481298" w:rsidP="00481298">
      <w:pPr>
        <w:spacing w:after="120" w:line="240" w:lineRule="auto"/>
        <w:ind w:right="28"/>
        <w:jc w:val="center"/>
        <w:rPr>
          <w:rFonts w:ascii="Verdana" w:eastAsia="Times New Roman" w:hAnsi="Verdana" w:cs="Arial"/>
          <w:b/>
          <w:color w:val="002060"/>
          <w:sz w:val="28"/>
          <w:szCs w:val="36"/>
          <w:lang w:val="en-US"/>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gliatabella"/>
        <w:tblW w:w="11199" w:type="dxa"/>
        <w:tblInd w:w="-318" w:type="dxa"/>
        <w:tblLook w:val="04A0" w:firstRow="1" w:lastRow="0" w:firstColumn="1" w:lastColumn="0" w:noHBand="0" w:noVBand="1"/>
      </w:tblPr>
      <w:tblGrid>
        <w:gridCol w:w="6380"/>
        <w:gridCol w:w="4819"/>
      </w:tblGrid>
      <w:tr w:rsidR="00481298" w:rsidRPr="001C329C"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rsidRPr="001C329C"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FA79A7F" w14:textId="5486BF35" w:rsidR="00481298" w:rsidRDefault="00481298" w:rsidP="008919DD">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lastRenderedPageBreak/>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1C329C"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1C329C"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1C329C"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1C329C"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1C329C"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1C329C"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1C329C"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1C329C"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1C329C"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1C329C"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1C329C"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B00378A" w14:textId="33A69E61" w:rsidR="00481298" w:rsidRPr="00731DDA" w:rsidRDefault="00481298" w:rsidP="00481298">
      <w:pPr>
        <w:spacing w:after="120" w:line="240" w:lineRule="auto"/>
        <w:ind w:right="28"/>
        <w:jc w:val="center"/>
        <w:rPr>
          <w:rFonts w:ascii="Verdana" w:eastAsia="Times New Roman" w:hAnsi="Verdana" w:cs="Arial"/>
          <w:bCs/>
          <w:sz w:val="16"/>
          <w:szCs w:val="20"/>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10396"/>
        <w:tblW w:w="10891" w:type="dxa"/>
        <w:tblLayout w:type="fixed"/>
        <w:tblLook w:val="04A0" w:firstRow="1" w:lastRow="0" w:firstColumn="1" w:lastColumn="0" w:noHBand="0" w:noVBand="1"/>
      </w:tblPr>
      <w:tblGrid>
        <w:gridCol w:w="2612"/>
        <w:gridCol w:w="2032"/>
        <w:gridCol w:w="2036"/>
        <w:gridCol w:w="1629"/>
        <w:gridCol w:w="1086"/>
        <w:gridCol w:w="1496"/>
      </w:tblGrid>
      <w:tr w:rsidR="008919DD" w:rsidRPr="001C329C" w14:paraId="00C8D6B7" w14:textId="77777777" w:rsidTr="008919DD">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73D656B2" w14:textId="77777777" w:rsidR="008919DD" w:rsidRPr="002A00C3" w:rsidRDefault="008919DD" w:rsidP="008919D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8919DD" w:rsidRPr="002A00C3" w14:paraId="514C7288" w14:textId="77777777" w:rsidTr="008919D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3E1E6A6" w14:textId="77777777" w:rsidR="008919DD" w:rsidRPr="002A00C3" w:rsidRDefault="008919DD" w:rsidP="00891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C5A42AC" w14:textId="77777777" w:rsidR="008919DD" w:rsidRPr="002A00C3" w:rsidRDefault="008919DD" w:rsidP="00891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DBCBA0F" w14:textId="77777777" w:rsidR="008919DD" w:rsidRPr="002A00C3" w:rsidRDefault="008919DD" w:rsidP="00891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C3A8D2B" w14:textId="77777777" w:rsidR="008919DD" w:rsidRPr="002A00C3" w:rsidRDefault="008919DD" w:rsidP="00891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D467B8C" w14:textId="77777777" w:rsidR="008919DD" w:rsidRPr="002A00C3" w:rsidRDefault="008919DD" w:rsidP="00891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03FE63EF" w14:textId="77777777" w:rsidR="008919DD" w:rsidRPr="002A00C3" w:rsidRDefault="008919DD" w:rsidP="008919D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8919DD" w:rsidRPr="002A00C3" w14:paraId="257D4195" w14:textId="77777777" w:rsidTr="008919D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CD2B9C6" w14:textId="77777777" w:rsidR="008919DD" w:rsidRPr="002A00C3" w:rsidRDefault="008919DD" w:rsidP="008919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3B2DD020" w14:textId="77777777" w:rsidR="008919DD" w:rsidRPr="00784E7F" w:rsidRDefault="008919DD" w:rsidP="008919D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7962461" w14:textId="77777777" w:rsidR="008919DD" w:rsidRPr="002A00C3" w:rsidRDefault="008919DD" w:rsidP="008919DD">
            <w:pPr>
              <w:spacing w:after="0" w:line="240" w:lineRule="auto"/>
              <w:jc w:val="center"/>
              <w:rPr>
                <w:rFonts w:ascii="Calibri" w:eastAsia="Times New Roman" w:hAnsi="Calibri" w:cs="Times New Roman"/>
                <w:color w:val="000000"/>
                <w:sz w:val="16"/>
                <w:szCs w:val="16"/>
                <w:lang w:val="en-GB" w:eastAsia="en-GB"/>
              </w:rPr>
            </w:pPr>
          </w:p>
          <w:p w14:paraId="05FE8564" w14:textId="77777777" w:rsidR="008919DD" w:rsidRPr="002A00C3" w:rsidRDefault="008919DD" w:rsidP="008919D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050133D" w14:textId="77777777" w:rsidR="008919DD" w:rsidRPr="002A00C3" w:rsidRDefault="008919DD" w:rsidP="008919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AFED0B1" w14:textId="77777777" w:rsidR="008919DD" w:rsidRPr="002A00C3" w:rsidRDefault="008919DD" w:rsidP="008919D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4C9905B8" w14:textId="77777777" w:rsidR="008919DD" w:rsidRPr="002A00C3" w:rsidRDefault="008919DD" w:rsidP="008919DD">
            <w:pPr>
              <w:spacing w:after="0" w:line="240" w:lineRule="auto"/>
              <w:jc w:val="center"/>
              <w:rPr>
                <w:rFonts w:ascii="Calibri" w:eastAsia="Times New Roman" w:hAnsi="Calibri" w:cs="Times New Roman"/>
                <w:b/>
                <w:bCs/>
                <w:color w:val="000000"/>
                <w:sz w:val="16"/>
                <w:szCs w:val="16"/>
                <w:lang w:val="en-GB" w:eastAsia="en-GB"/>
              </w:rPr>
            </w:pPr>
          </w:p>
        </w:tc>
      </w:tr>
      <w:tr w:rsidR="008919DD" w:rsidRPr="001C329C" w14:paraId="30F41D81" w14:textId="77777777" w:rsidTr="008919D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149AD85" w14:textId="77777777" w:rsidR="008919DD" w:rsidRPr="002A00C3" w:rsidRDefault="008919DD" w:rsidP="008919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292B098" w14:textId="77777777" w:rsidR="008919DD" w:rsidRPr="002A00C3" w:rsidRDefault="008919DD" w:rsidP="008919D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208D7290" w14:textId="77777777" w:rsidR="008919DD" w:rsidRPr="002A00C3" w:rsidRDefault="008919DD" w:rsidP="008919D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D70D2C1" w14:textId="77777777" w:rsidR="008919DD" w:rsidRPr="002A00C3" w:rsidRDefault="008919DD" w:rsidP="008919D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1C522B27" w14:textId="77777777" w:rsidR="008919DD" w:rsidRPr="002A00C3" w:rsidRDefault="008919DD" w:rsidP="008919D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174E4685" w14:textId="77777777" w:rsidR="008919DD" w:rsidRPr="002A00C3" w:rsidRDefault="008919DD" w:rsidP="008919DD">
            <w:pPr>
              <w:spacing w:after="0" w:line="240" w:lineRule="auto"/>
              <w:jc w:val="center"/>
              <w:rPr>
                <w:rFonts w:ascii="Calibri" w:eastAsia="Times New Roman" w:hAnsi="Calibri" w:cs="Times New Roman"/>
                <w:b/>
                <w:bCs/>
                <w:color w:val="000000"/>
                <w:sz w:val="16"/>
                <w:szCs w:val="16"/>
                <w:lang w:val="en-GB" w:eastAsia="en-GB"/>
              </w:rPr>
            </w:pPr>
          </w:p>
        </w:tc>
      </w:tr>
      <w:tr w:rsidR="008919DD" w:rsidRPr="001C329C" w14:paraId="3F8C9AEF" w14:textId="77777777" w:rsidTr="008919D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201CB8C1" w14:textId="77777777" w:rsidR="008919DD" w:rsidRPr="002A00C3" w:rsidRDefault="008919DD" w:rsidP="008919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08E88441" w14:textId="77777777" w:rsidR="008919DD" w:rsidRPr="002A00C3" w:rsidRDefault="008919DD" w:rsidP="008919D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B2677AB" w14:textId="77777777" w:rsidR="008919DD" w:rsidRPr="002A00C3" w:rsidRDefault="008919DD" w:rsidP="008919D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6DC9D4F4" w14:textId="77777777" w:rsidR="008919DD" w:rsidRPr="002A00C3" w:rsidRDefault="008919DD" w:rsidP="008919D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2FB7BD0" w14:textId="77777777" w:rsidR="008919DD" w:rsidRPr="002A00C3" w:rsidRDefault="008919DD" w:rsidP="008919DD">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34C9DF69" w14:textId="77777777" w:rsidR="008919DD" w:rsidRPr="002A00C3" w:rsidRDefault="008919DD" w:rsidP="008919DD">
            <w:pPr>
              <w:spacing w:after="0" w:line="240" w:lineRule="auto"/>
              <w:jc w:val="center"/>
              <w:rPr>
                <w:rFonts w:ascii="Calibri" w:eastAsia="Times New Roman" w:hAnsi="Calibri" w:cs="Times New Roman"/>
                <w:b/>
                <w:bCs/>
                <w:color w:val="000000"/>
                <w:sz w:val="16"/>
                <w:szCs w:val="16"/>
                <w:lang w:val="en-GB" w:eastAsia="en-GB"/>
              </w:rPr>
            </w:pPr>
          </w:p>
        </w:tc>
      </w:tr>
    </w:tbl>
    <w:p w14:paraId="45758565" w14:textId="77777777" w:rsidR="00481298" w:rsidRPr="008919DD" w:rsidRDefault="00481298" w:rsidP="00481298">
      <w:pPr>
        <w:spacing w:after="120" w:line="240" w:lineRule="auto"/>
        <w:ind w:right="28"/>
        <w:jc w:val="center"/>
        <w:rPr>
          <w:rFonts w:ascii="Verdana" w:eastAsia="Times New Roman" w:hAnsi="Verdana" w:cs="Arial"/>
          <w:b/>
          <w:color w:val="002060"/>
          <w:sz w:val="28"/>
          <w:szCs w:val="36"/>
          <w:lang w:val="en-US"/>
        </w:rPr>
      </w:pPr>
    </w:p>
    <w:p w14:paraId="488B54CC" w14:textId="1A16C136" w:rsidR="00481298" w:rsidRDefault="00481298" w:rsidP="00481298">
      <w:pPr>
        <w:spacing w:after="120" w:line="240" w:lineRule="auto"/>
        <w:ind w:right="28"/>
        <w:rPr>
          <w:rFonts w:ascii="Verdana" w:eastAsia="Times New Roman" w:hAnsi="Verdana" w:cs="Arial"/>
          <w:b/>
          <w:color w:val="002060"/>
          <w:sz w:val="24"/>
          <w:szCs w:val="32"/>
          <w:lang w:val="en-GB"/>
        </w:rPr>
      </w:pPr>
    </w:p>
    <w:p w14:paraId="75FF0384" w14:textId="5336C30E" w:rsidR="008919DD" w:rsidRDefault="008919DD" w:rsidP="00481298">
      <w:pPr>
        <w:spacing w:after="120" w:line="240" w:lineRule="auto"/>
        <w:ind w:right="28"/>
        <w:rPr>
          <w:rFonts w:ascii="Verdana" w:eastAsia="Times New Roman" w:hAnsi="Verdana" w:cs="Arial"/>
          <w:b/>
          <w:color w:val="002060"/>
          <w:sz w:val="24"/>
          <w:szCs w:val="32"/>
          <w:lang w:val="en-GB"/>
        </w:rPr>
      </w:pPr>
    </w:p>
    <w:p w14:paraId="76E5E3B2" w14:textId="6C5D2E47" w:rsidR="008919DD" w:rsidRDefault="008919DD" w:rsidP="00481298">
      <w:pPr>
        <w:spacing w:after="120" w:line="240" w:lineRule="auto"/>
        <w:ind w:right="28"/>
        <w:rPr>
          <w:rFonts w:ascii="Verdana" w:eastAsia="Times New Roman" w:hAnsi="Verdana" w:cs="Arial"/>
          <w:b/>
          <w:color w:val="002060"/>
          <w:sz w:val="24"/>
          <w:szCs w:val="32"/>
          <w:lang w:val="en-GB"/>
        </w:rPr>
      </w:pPr>
    </w:p>
    <w:p w14:paraId="4DC55B7E" w14:textId="2753DACC" w:rsidR="008919DD" w:rsidRDefault="008919DD" w:rsidP="00481298">
      <w:pPr>
        <w:spacing w:after="120" w:line="240" w:lineRule="auto"/>
        <w:ind w:right="28"/>
        <w:rPr>
          <w:rFonts w:ascii="Verdana" w:eastAsia="Times New Roman" w:hAnsi="Verdana" w:cs="Arial"/>
          <w:b/>
          <w:color w:val="002060"/>
          <w:sz w:val="24"/>
          <w:szCs w:val="32"/>
          <w:lang w:val="en-GB"/>
        </w:rPr>
      </w:pPr>
    </w:p>
    <w:p w14:paraId="68991E4C" w14:textId="14B70914" w:rsidR="00CE4694" w:rsidRDefault="00CE4694" w:rsidP="00481298">
      <w:pPr>
        <w:spacing w:after="120" w:line="240" w:lineRule="auto"/>
        <w:ind w:right="28"/>
        <w:rPr>
          <w:rFonts w:ascii="Verdana" w:eastAsia="Times New Roman" w:hAnsi="Verdana" w:cs="Arial"/>
          <w:b/>
          <w:color w:val="002060"/>
          <w:sz w:val="24"/>
          <w:szCs w:val="32"/>
          <w:lang w:val="en-GB"/>
        </w:rPr>
      </w:pPr>
    </w:p>
    <w:p w14:paraId="4CE40AC6" w14:textId="77777777" w:rsidR="009B3BEA" w:rsidRDefault="009B3BEA"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tbl>
      <w:tblPr>
        <w:tblStyle w:val="Grigliatabella"/>
        <w:tblpPr w:leftFromText="141" w:rightFromText="141" w:vertAnchor="text" w:horzAnchor="margin" w:tblpY="1071"/>
        <w:tblW w:w="0" w:type="auto"/>
        <w:tblLook w:val="04A0" w:firstRow="1" w:lastRow="0" w:firstColumn="1" w:lastColumn="0" w:noHBand="0" w:noVBand="1"/>
      </w:tblPr>
      <w:tblGrid>
        <w:gridCol w:w="2324"/>
        <w:gridCol w:w="8132"/>
      </w:tblGrid>
      <w:tr w:rsidR="009B3BEA" w14:paraId="51DD1775" w14:textId="77777777" w:rsidTr="009B3BEA">
        <w:tc>
          <w:tcPr>
            <w:tcW w:w="2324" w:type="dxa"/>
            <w:shd w:val="clear" w:color="auto" w:fill="D5DCE4" w:themeFill="text2" w:themeFillTint="33"/>
          </w:tcPr>
          <w:p w14:paraId="0B174E11" w14:textId="77777777" w:rsidR="009B3BEA" w:rsidRPr="002C5273" w:rsidRDefault="009B3BEA" w:rsidP="009B3BEA">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132" w:type="dxa"/>
            <w:shd w:val="clear" w:color="auto" w:fill="D5DCE4" w:themeFill="text2" w:themeFillTint="33"/>
          </w:tcPr>
          <w:p w14:paraId="181AA949" w14:textId="77777777" w:rsidR="009B3BEA" w:rsidRPr="002C5273" w:rsidRDefault="009B3BEA" w:rsidP="009B3BEA">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9B3BEA" w:rsidRPr="001C329C" w14:paraId="793B17B6" w14:textId="77777777" w:rsidTr="009B3BEA">
        <w:tc>
          <w:tcPr>
            <w:tcW w:w="2324" w:type="dxa"/>
          </w:tcPr>
          <w:p w14:paraId="29D9B75A" w14:textId="77777777" w:rsidR="009B3BEA" w:rsidRPr="002E1905" w:rsidRDefault="009B3BEA" w:rsidP="009B3BEA">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205BB4FD" w14:textId="77777777" w:rsidR="009B3BEA" w:rsidRPr="002E1905" w:rsidRDefault="009B3BEA" w:rsidP="009B3BEA">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9B3BEA" w:rsidRPr="001C329C" w14:paraId="6CD7F708" w14:textId="77777777" w:rsidTr="009B3BEA">
        <w:tc>
          <w:tcPr>
            <w:tcW w:w="2324" w:type="dxa"/>
          </w:tcPr>
          <w:p w14:paraId="6B099E18" w14:textId="77777777" w:rsidR="009B3BEA" w:rsidRPr="002E1905" w:rsidRDefault="009B3BEA" w:rsidP="009B3BEA">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6B02FE05" w14:textId="77777777" w:rsidR="009B3BEA" w:rsidRPr="002E1905" w:rsidRDefault="009B3BEA" w:rsidP="009B3BEA">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Collegamentoipertestuale"/>
                  <w:sz w:val="20"/>
                  <w:lang w:val="en-GB"/>
                </w:rPr>
                <w:t>Technical Documentation</w:t>
              </w:r>
            </w:hyperlink>
            <w:r>
              <w:rPr>
                <w:sz w:val="20"/>
                <w:lang w:val="en-GB"/>
              </w:rPr>
              <w:t xml:space="preserve"> page of the </w:t>
            </w:r>
            <w:hyperlink r:id="rId9" w:history="1">
              <w:r w:rsidRPr="003721A6">
                <w:rPr>
                  <w:rStyle w:val="Collegamentoipertestuale"/>
                  <w:sz w:val="20"/>
                  <w:lang w:val="en-GB"/>
                </w:rPr>
                <w:t>European Student Card Initiative</w:t>
              </w:r>
            </w:hyperlink>
            <w:r>
              <w:rPr>
                <w:sz w:val="20"/>
                <w:lang w:val="en-GB"/>
              </w:rPr>
              <w:t xml:space="preserve"> portal. </w:t>
            </w:r>
          </w:p>
        </w:tc>
      </w:tr>
      <w:tr w:rsidR="009B3BEA" w:rsidRPr="001C329C" w14:paraId="47E2E2E8" w14:textId="77777777" w:rsidTr="009B3BEA">
        <w:tc>
          <w:tcPr>
            <w:tcW w:w="2324" w:type="dxa"/>
          </w:tcPr>
          <w:p w14:paraId="342CD96E" w14:textId="77777777" w:rsidR="009B3BEA" w:rsidRPr="002E1905" w:rsidRDefault="009B3BEA" w:rsidP="009B3BEA">
            <w:pPr>
              <w:spacing w:after="120" w:line="240" w:lineRule="auto"/>
              <w:ind w:right="28"/>
              <w:rPr>
                <w:b/>
                <w:sz w:val="20"/>
                <w:lang w:val="en-GB"/>
              </w:rPr>
            </w:pPr>
            <w:r>
              <w:rPr>
                <w:b/>
                <w:sz w:val="20"/>
                <w:lang w:val="en-GB"/>
              </w:rPr>
              <w:t>Level of education</w:t>
            </w:r>
          </w:p>
        </w:tc>
        <w:tc>
          <w:tcPr>
            <w:tcW w:w="8132" w:type="dxa"/>
          </w:tcPr>
          <w:p w14:paraId="379E1D9D" w14:textId="77777777" w:rsidR="009B3BEA" w:rsidRPr="002E1905" w:rsidRDefault="009B3BEA" w:rsidP="009B3BEA">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9B3BEA" w:rsidRPr="001C329C" w14:paraId="1539AA1F" w14:textId="77777777" w:rsidTr="009B3BEA">
        <w:tc>
          <w:tcPr>
            <w:tcW w:w="2324" w:type="dxa"/>
          </w:tcPr>
          <w:p w14:paraId="6627B412" w14:textId="77777777" w:rsidR="009B3BEA" w:rsidRPr="002E1905" w:rsidRDefault="009B3BEA" w:rsidP="009B3BEA">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1C3415EB" w14:textId="77777777" w:rsidR="009B3BEA" w:rsidRPr="001879C3" w:rsidRDefault="009B3BEA" w:rsidP="009B3BEA">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9B3BEA" w:rsidRPr="001C329C" w14:paraId="59D810C1" w14:textId="77777777" w:rsidTr="009B3BEA">
        <w:tc>
          <w:tcPr>
            <w:tcW w:w="2324" w:type="dxa"/>
          </w:tcPr>
          <w:p w14:paraId="60402141" w14:textId="77777777" w:rsidR="009B3BEA" w:rsidRPr="002E1905" w:rsidRDefault="009B3BEA" w:rsidP="009B3BEA">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748AB15" w14:textId="77777777" w:rsidR="009B3BEA" w:rsidRPr="002E1905" w:rsidRDefault="009B3BEA" w:rsidP="009B3BEA">
            <w:pPr>
              <w:pStyle w:val="Testonotadichiusura"/>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9B3BEA" w:rsidRPr="001C329C" w14:paraId="508E3ED6" w14:textId="77777777" w:rsidTr="009B3BEA">
        <w:trPr>
          <w:trHeight w:val="70"/>
        </w:trPr>
        <w:tc>
          <w:tcPr>
            <w:tcW w:w="2324" w:type="dxa"/>
          </w:tcPr>
          <w:p w14:paraId="5107AAEE" w14:textId="77777777" w:rsidR="009B3BEA" w:rsidRPr="002E1905" w:rsidRDefault="009B3BEA" w:rsidP="009B3BEA">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2E355F1A" w14:textId="77777777" w:rsidR="009B3BEA" w:rsidRPr="002E1905" w:rsidRDefault="009B3BEA" w:rsidP="009B3BEA">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9B3BEA" w:rsidRPr="001C329C" w14:paraId="033225C7" w14:textId="77777777" w:rsidTr="009B3BEA">
        <w:trPr>
          <w:trHeight w:val="70"/>
        </w:trPr>
        <w:tc>
          <w:tcPr>
            <w:tcW w:w="2324" w:type="dxa"/>
          </w:tcPr>
          <w:p w14:paraId="7C0D8223" w14:textId="77777777" w:rsidR="009B3BEA" w:rsidRPr="002E1905" w:rsidRDefault="009B3BEA" w:rsidP="009B3BEA">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2D467639" w14:textId="77777777" w:rsidR="009B3BEA" w:rsidRPr="002E1905" w:rsidRDefault="009B3BEA" w:rsidP="009B3BEA">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9B3BEA" w:rsidRPr="001C329C" w14:paraId="2111B17A" w14:textId="77777777" w:rsidTr="009B3BEA">
        <w:trPr>
          <w:trHeight w:val="70"/>
        </w:trPr>
        <w:tc>
          <w:tcPr>
            <w:tcW w:w="2324" w:type="dxa"/>
          </w:tcPr>
          <w:p w14:paraId="35DFF831" w14:textId="77777777" w:rsidR="009B3BEA" w:rsidRPr="002E1905" w:rsidRDefault="009B3BEA" w:rsidP="009B3BEA">
            <w:pPr>
              <w:spacing w:after="120" w:line="240" w:lineRule="auto"/>
              <w:ind w:right="28"/>
              <w:rPr>
                <w:rFonts w:cstheme="minorHAnsi"/>
                <w:b/>
                <w:sz w:val="20"/>
                <w:lang w:val="en-GB"/>
              </w:rPr>
            </w:pPr>
            <w:r w:rsidRPr="002E1905">
              <w:rPr>
                <w:rFonts w:cstheme="minorHAnsi"/>
                <w:b/>
                <w:sz w:val="20"/>
                <w:lang w:val="en-GB"/>
              </w:rPr>
              <w:t>Blended mobility</w:t>
            </w:r>
          </w:p>
        </w:tc>
        <w:tc>
          <w:tcPr>
            <w:tcW w:w="8132" w:type="dxa"/>
          </w:tcPr>
          <w:p w14:paraId="6C4152C8" w14:textId="77777777" w:rsidR="009B3BEA" w:rsidRPr="002E1905" w:rsidRDefault="009B3BEA" w:rsidP="009B3BEA">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9B3BEA" w:rsidRPr="001C329C" w14:paraId="3833A4BF" w14:textId="77777777" w:rsidTr="009B3BEA">
        <w:trPr>
          <w:trHeight w:val="70"/>
        </w:trPr>
        <w:tc>
          <w:tcPr>
            <w:tcW w:w="2324" w:type="dxa"/>
          </w:tcPr>
          <w:p w14:paraId="3ED261AC" w14:textId="77777777" w:rsidR="009B3BEA" w:rsidRPr="002E1905" w:rsidRDefault="009B3BEA" w:rsidP="009B3BEA">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27F9E0D9" w14:textId="77777777" w:rsidR="009B3BEA" w:rsidRPr="002E1905" w:rsidRDefault="009B3BEA" w:rsidP="009B3BEA">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9B3BEA" w:rsidRPr="001C329C" w14:paraId="1EC5EECE" w14:textId="77777777" w:rsidTr="009B3BEA">
        <w:trPr>
          <w:trHeight w:val="70"/>
        </w:trPr>
        <w:tc>
          <w:tcPr>
            <w:tcW w:w="2324" w:type="dxa"/>
          </w:tcPr>
          <w:p w14:paraId="30440AE7" w14:textId="77777777" w:rsidR="009B3BEA" w:rsidRPr="002E1905" w:rsidRDefault="009B3BEA" w:rsidP="009B3BEA">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3D631FC0" w14:textId="77777777" w:rsidR="009B3BEA" w:rsidRPr="002E1905" w:rsidRDefault="009B3BEA" w:rsidP="009B3BEA">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9B3BEA" w:rsidRPr="001C329C" w14:paraId="791CB199" w14:textId="77777777" w:rsidTr="009B3BEA">
        <w:trPr>
          <w:trHeight w:val="70"/>
        </w:trPr>
        <w:tc>
          <w:tcPr>
            <w:tcW w:w="2324" w:type="dxa"/>
          </w:tcPr>
          <w:p w14:paraId="2A671773" w14:textId="77777777" w:rsidR="009B3BEA" w:rsidRPr="002E1905" w:rsidRDefault="009B3BEA" w:rsidP="009B3BEA">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4FFB5C9C" w14:textId="77777777" w:rsidR="009B3BEA" w:rsidRPr="002E1905" w:rsidRDefault="009B3BEA" w:rsidP="009B3BEA">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9B3BEA" w:rsidRPr="001C329C" w14:paraId="5FEFF1E8" w14:textId="77777777" w:rsidTr="009B3BEA">
        <w:trPr>
          <w:trHeight w:val="70"/>
        </w:trPr>
        <w:tc>
          <w:tcPr>
            <w:tcW w:w="2324" w:type="dxa"/>
          </w:tcPr>
          <w:p w14:paraId="5CD62E1F" w14:textId="77777777" w:rsidR="009B3BEA" w:rsidRPr="002E1905" w:rsidRDefault="009B3BEA" w:rsidP="009B3BEA">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1FB438B3" w14:textId="77777777" w:rsidR="009B3BEA" w:rsidRPr="00EA0171" w:rsidRDefault="009B3BEA" w:rsidP="009B3BEA">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9B3BEA" w:rsidRPr="001C329C" w14:paraId="623980A2" w14:textId="77777777" w:rsidTr="009B3BEA">
        <w:trPr>
          <w:trHeight w:val="70"/>
        </w:trPr>
        <w:tc>
          <w:tcPr>
            <w:tcW w:w="2324" w:type="dxa"/>
          </w:tcPr>
          <w:p w14:paraId="13204B0B" w14:textId="77777777" w:rsidR="009B3BEA" w:rsidRPr="002E1905" w:rsidRDefault="009B3BEA" w:rsidP="009B3BEA">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58EB9ED7" w14:textId="77777777" w:rsidR="009B3BEA" w:rsidRPr="002E1905" w:rsidRDefault="009B3BEA" w:rsidP="009B3BEA">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Collegamentoipertestual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9B3BEA" w:rsidRPr="001C329C" w14:paraId="5A0BFAD9" w14:textId="77777777" w:rsidTr="009B3BEA">
        <w:tc>
          <w:tcPr>
            <w:tcW w:w="2324" w:type="dxa"/>
          </w:tcPr>
          <w:p w14:paraId="5308C195" w14:textId="77777777" w:rsidR="009B3BEA" w:rsidRPr="002E1905" w:rsidRDefault="009B3BEA" w:rsidP="009B3BEA">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11F75F34" w14:textId="77777777" w:rsidR="009B3BEA" w:rsidRPr="002E1905" w:rsidRDefault="009B3BEA" w:rsidP="009B3BEA">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9B3BEA" w:rsidRPr="001C329C" w14:paraId="630570CB" w14:textId="77777777" w:rsidTr="009B3BEA">
        <w:tc>
          <w:tcPr>
            <w:tcW w:w="2324" w:type="dxa"/>
          </w:tcPr>
          <w:p w14:paraId="18A33013" w14:textId="77777777" w:rsidR="009B3BEA" w:rsidRPr="002E1905" w:rsidRDefault="009B3BEA" w:rsidP="009B3BEA">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47780931" w14:textId="77777777" w:rsidR="009B3BEA" w:rsidRPr="002E1905" w:rsidRDefault="009B3BEA" w:rsidP="009B3BEA">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Collegamentoipertestuale"/>
                  <w:rFonts w:cstheme="minorHAnsi"/>
                  <w:lang w:val="en-GB"/>
                </w:rPr>
                <w:t>https://europass.cedefop.europa.eu/en/resources/european-language-levels-cefr</w:t>
              </w:r>
            </w:hyperlink>
          </w:p>
        </w:tc>
      </w:tr>
      <w:tr w:rsidR="009B3BEA" w:rsidRPr="001C329C" w14:paraId="01E43CFE" w14:textId="77777777" w:rsidTr="009B3BEA">
        <w:tc>
          <w:tcPr>
            <w:tcW w:w="2324" w:type="dxa"/>
          </w:tcPr>
          <w:p w14:paraId="62C50D56" w14:textId="77777777" w:rsidR="009B3BEA" w:rsidRPr="002E1905" w:rsidRDefault="009B3BEA" w:rsidP="009B3BEA">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3C9D842B" w14:textId="77777777" w:rsidR="009B3BEA" w:rsidRPr="00021B3A" w:rsidRDefault="009B3BEA" w:rsidP="009B3BEA">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9B3BEA" w:rsidRPr="001C329C" w14:paraId="1AA26938" w14:textId="77777777" w:rsidTr="009B3BEA">
        <w:tc>
          <w:tcPr>
            <w:tcW w:w="2324" w:type="dxa"/>
          </w:tcPr>
          <w:p w14:paraId="2C0487CF" w14:textId="77777777" w:rsidR="009B3BEA" w:rsidRPr="00021B3A" w:rsidRDefault="009B3BEA" w:rsidP="009B3BEA">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44DAD822" w14:textId="77777777" w:rsidR="009B3BEA" w:rsidRPr="00021B3A" w:rsidRDefault="009B3BEA" w:rsidP="009B3BE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9B3BEA" w14:paraId="335E7506" w14:textId="77777777" w:rsidTr="009B3BEA">
        <w:tc>
          <w:tcPr>
            <w:tcW w:w="2324" w:type="dxa"/>
          </w:tcPr>
          <w:p w14:paraId="63AB4D27" w14:textId="77777777" w:rsidR="009B3BEA" w:rsidRPr="002E1905" w:rsidRDefault="009B3BEA" w:rsidP="009B3BEA">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132" w:type="dxa"/>
          </w:tcPr>
          <w:p w14:paraId="3DBBB9C5" w14:textId="77777777" w:rsidR="009B3BEA" w:rsidRPr="002E1905" w:rsidRDefault="009B3BEA" w:rsidP="009B3BEA">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65D283EB" w14:textId="77777777" w:rsidR="009B3BEA" w:rsidRPr="002E1905" w:rsidRDefault="009B3BEA" w:rsidP="009B3BEA">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81BC7E7" w14:textId="77777777" w:rsidR="009B3BEA" w:rsidRPr="002E1905" w:rsidRDefault="009B3BEA" w:rsidP="009B3BEA">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3CD0DA96" w14:textId="77777777" w:rsidR="009B3BEA" w:rsidRPr="002E1905" w:rsidRDefault="009B3BEA" w:rsidP="009B3BEA">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9B3BEA" w14:paraId="73A2D2DD" w14:textId="77777777" w:rsidTr="009B3BEA">
        <w:tc>
          <w:tcPr>
            <w:tcW w:w="2324" w:type="dxa"/>
          </w:tcPr>
          <w:p w14:paraId="49BC3A6D" w14:textId="77777777" w:rsidR="009B3BEA" w:rsidRPr="002E1905" w:rsidRDefault="009B3BEA" w:rsidP="009B3BEA">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132" w:type="dxa"/>
          </w:tcPr>
          <w:p w14:paraId="551A39DE" w14:textId="77777777" w:rsidR="009B3BEA" w:rsidRPr="002E1905" w:rsidRDefault="009B3BEA" w:rsidP="009B3BEA">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A2AE46B" w14:textId="77777777" w:rsidR="009B3BEA" w:rsidRPr="002E1905" w:rsidRDefault="009B3BEA" w:rsidP="009B3BEA">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A89D6DC" w14:textId="77777777" w:rsidR="009B3BEA" w:rsidRPr="002E1905" w:rsidRDefault="009B3BEA" w:rsidP="009B3BEA">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65045E4E" w14:textId="77777777" w:rsidR="009B3BEA" w:rsidRPr="002E1905" w:rsidRDefault="009B3BEA" w:rsidP="009B3BEA">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17389693" w14:textId="28E53DCC"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D807806" w14:textId="77777777" w:rsidR="008919DD" w:rsidRDefault="008919DD" w:rsidP="00481298">
      <w:pPr>
        <w:spacing w:after="120" w:line="240" w:lineRule="auto"/>
        <w:ind w:right="28"/>
        <w:jc w:val="center"/>
        <w:rPr>
          <w:rFonts w:ascii="Verdana" w:eastAsia="Times New Roman" w:hAnsi="Verdana" w:cs="Arial"/>
          <w:b/>
          <w:color w:val="002060"/>
          <w:sz w:val="28"/>
          <w:szCs w:val="36"/>
          <w:lang w:val="en-GB"/>
        </w:rPr>
      </w:pPr>
    </w:p>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6CA9" w14:textId="77777777" w:rsidR="004F3780" w:rsidRDefault="004F3780">
      <w:pPr>
        <w:spacing w:after="0" w:line="240" w:lineRule="auto"/>
      </w:pPr>
      <w:r>
        <w:separator/>
      </w:r>
    </w:p>
  </w:endnote>
  <w:endnote w:type="continuationSeparator" w:id="0">
    <w:p w14:paraId="210F7B67" w14:textId="77777777" w:rsidR="004F3780" w:rsidRDefault="004F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D5A4" w14:textId="77777777" w:rsidR="004F3780" w:rsidRDefault="004F3780">
      <w:pPr>
        <w:spacing w:after="0" w:line="240" w:lineRule="auto"/>
      </w:pPr>
      <w:r>
        <w:separator/>
      </w:r>
    </w:p>
  </w:footnote>
  <w:footnote w:type="continuationSeparator" w:id="0">
    <w:p w14:paraId="78A797C9" w14:textId="77777777" w:rsidR="004F3780" w:rsidRDefault="004F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8042279">
    <w:abstractNumId w:val="0"/>
  </w:num>
  <w:num w:numId="2" w16cid:durableId="1707677955">
    <w:abstractNumId w:val="1"/>
  </w:num>
  <w:num w:numId="3" w16cid:durableId="1169096989">
    <w:abstractNumId w:val="3"/>
  </w:num>
  <w:num w:numId="4" w16cid:durableId="106854959">
    <w:abstractNumId w:val="4"/>
  </w:num>
  <w:num w:numId="5" w16cid:durableId="718357361">
    <w:abstractNumId w:val="7"/>
  </w:num>
  <w:num w:numId="6" w16cid:durableId="1791046714">
    <w:abstractNumId w:val="5"/>
  </w:num>
  <w:num w:numId="7" w16cid:durableId="606036151">
    <w:abstractNumId w:val="2"/>
  </w:num>
  <w:num w:numId="8" w16cid:durableId="17249799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418F"/>
    <w:rsid w:val="000C7F9E"/>
    <w:rsid w:val="001B4595"/>
    <w:rsid w:val="001C329C"/>
    <w:rsid w:val="002F66E4"/>
    <w:rsid w:val="00430F0B"/>
    <w:rsid w:val="0047200F"/>
    <w:rsid w:val="00481298"/>
    <w:rsid w:val="0049620A"/>
    <w:rsid w:val="004C60E5"/>
    <w:rsid w:val="004F28A7"/>
    <w:rsid w:val="004F3780"/>
    <w:rsid w:val="005B7838"/>
    <w:rsid w:val="007F53C3"/>
    <w:rsid w:val="008636A7"/>
    <w:rsid w:val="00864AFE"/>
    <w:rsid w:val="008919DD"/>
    <w:rsid w:val="008C6E35"/>
    <w:rsid w:val="00924432"/>
    <w:rsid w:val="009B3BEA"/>
    <w:rsid w:val="009D31C1"/>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481298"/>
    <w:rPr>
      <w:lang w:val="it-IT"/>
    </w:rPr>
  </w:style>
  <w:style w:type="paragraph" w:styleId="Pidipagina">
    <w:name w:val="footer"/>
    <w:basedOn w:val="Normale"/>
    <w:link w:val="PidipaginaCarattere"/>
    <w:uiPriority w:val="99"/>
    <w:semiHidden/>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styleId="Menzionenonrisolta">
    <w:name w:val="Unresolved Mention"/>
    <w:basedOn w:val="Carpredefinitopara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1754</Words>
  <Characters>10004</Characters>
  <Application>Microsoft Office Word</Application>
  <DocSecurity>0</DocSecurity>
  <Lines>83</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Chiara Cannizzaro</cp:lastModifiedBy>
  <cp:revision>2</cp:revision>
  <cp:lastPrinted>2023-06-01T12:47:00Z</cp:lastPrinted>
  <dcterms:created xsi:type="dcterms:W3CDTF">2026-03-31T15:12:00Z</dcterms:created>
  <dcterms:modified xsi:type="dcterms:W3CDTF">2026-03-31T15:12:00Z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